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5FD" w:rsidRPr="001205FD" w:rsidRDefault="001205FD" w:rsidP="001205FD">
      <w:pPr>
        <w:pStyle w:val="afb"/>
        <w:spacing w:before="120" w:afterLines="50" w:after="120"/>
        <w:ind w:left="2270" w:hangingChars="942" w:hanging="2270"/>
        <w:rPr>
          <w:rFonts w:ascii="Arial" w:hAnsi="Arial" w:cs="Arial"/>
          <w:bCs/>
        </w:rPr>
      </w:pPr>
      <w:bookmarkStart w:id="0" w:name="Title"/>
      <w:bookmarkEnd w:id="0"/>
      <w:r w:rsidRPr="001205FD">
        <w:rPr>
          <w:rFonts w:ascii="Arial" w:hAnsi="Arial" w:cs="Arial"/>
          <w:bCs/>
        </w:rPr>
        <w:t>3GPP TSG-RAN WG4 Meeting # 96-e</w:t>
      </w:r>
      <w:r w:rsidRPr="001205FD" w:rsidDel="00277FAB">
        <w:rPr>
          <w:rFonts w:ascii="Arial" w:hAnsi="Arial" w:cs="Arial"/>
          <w:bCs/>
        </w:rPr>
        <w:t xml:space="preserve"> </w:t>
      </w:r>
      <w:r w:rsidRPr="001205FD">
        <w:rPr>
          <w:rFonts w:ascii="Arial" w:hAnsi="Arial" w:cs="Arial"/>
          <w:bCs/>
        </w:rPr>
        <w:tab/>
      </w:r>
      <w:r>
        <w:rPr>
          <w:rFonts w:ascii="Arial" w:hAnsi="Arial" w:cs="Arial" w:hint="eastAsia"/>
          <w:bCs/>
        </w:rPr>
        <w:tab/>
        <w:t xml:space="preserve">                       </w:t>
      </w:r>
      <w:r w:rsidRPr="001205FD">
        <w:rPr>
          <w:rFonts w:ascii="Arial" w:hAnsi="Arial" w:cs="Arial"/>
          <w:bCs/>
        </w:rPr>
        <w:t>R4-20</w:t>
      </w:r>
      <w:r w:rsidR="00651579">
        <w:rPr>
          <w:rFonts w:ascii="Arial" w:hAnsi="Arial" w:cs="Arial" w:hint="eastAsia"/>
          <w:bCs/>
        </w:rPr>
        <w:t>10457</w:t>
      </w:r>
    </w:p>
    <w:p w:rsidR="001205FD" w:rsidRPr="001205FD" w:rsidRDefault="001205FD" w:rsidP="001205FD">
      <w:pPr>
        <w:pStyle w:val="afb"/>
        <w:spacing w:before="120" w:afterLines="50" w:after="120"/>
        <w:ind w:left="2270" w:hangingChars="942" w:hanging="2270"/>
        <w:rPr>
          <w:rFonts w:ascii="Arial" w:hAnsi="Arial" w:cs="Arial"/>
          <w:bCs/>
        </w:rPr>
      </w:pPr>
      <w:r w:rsidRPr="001205FD">
        <w:rPr>
          <w:rFonts w:ascii="Arial" w:hAnsi="Arial" w:cs="Arial"/>
          <w:bCs/>
        </w:rPr>
        <w:t>Electronic Meeting, 17-28 Aug.,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21CF0">
        <w:rPr>
          <w:rFonts w:ascii="Arial" w:hAnsi="Arial" w:cs="Arial" w:hint="eastAsia"/>
          <w:b w:val="0"/>
        </w:rPr>
        <w:t>O</w:t>
      </w:r>
      <w:r w:rsidR="00962D49" w:rsidRPr="00962D49">
        <w:rPr>
          <w:rFonts w:ascii="Arial" w:hAnsi="Arial" w:cs="Arial"/>
          <w:b w:val="0"/>
        </w:rPr>
        <w:t>n switching period for NR V2X</w:t>
      </w:r>
      <w:r w:rsidR="000F6DE3" w:rsidRPr="000F6DE3">
        <w:rPr>
          <w:rFonts w:ascii="Arial" w:hAnsi="Arial" w:cs="Arial"/>
          <w:b w:val="0"/>
        </w:rPr>
        <w:t xml:space="preserve"> </w:t>
      </w:r>
      <w:r w:rsidR="000F6DE3" w:rsidRPr="00962D49">
        <w:rPr>
          <w:rFonts w:ascii="Arial" w:hAnsi="Arial" w:cs="Arial"/>
          <w:b w:val="0"/>
        </w:rPr>
        <w:t>in ITS band</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72949">
        <w:rPr>
          <w:rFonts w:ascii="Arial" w:hAnsi="Arial" w:cs="Arial" w:hint="eastAsia"/>
          <w:b w:val="0"/>
        </w:rPr>
        <w:t>7.3.</w:t>
      </w:r>
      <w:r w:rsidR="005F3C89">
        <w:rPr>
          <w:rFonts w:ascii="Arial" w:hAnsi="Arial" w:cs="Arial" w:hint="eastAsia"/>
          <w:b w:val="0"/>
        </w:rPr>
        <w:t>4</w:t>
      </w:r>
      <w:r w:rsidR="00DA42A1">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331ED1">
        <w:rPr>
          <w:rFonts w:ascii="Arial" w:hAnsi="Arial" w:cs="Arial" w:hint="eastAsia"/>
          <w:b w:val="0"/>
        </w:rPr>
        <w:t>Approval</w:t>
      </w:r>
    </w:p>
    <w:p w:rsidR="005F3C89" w:rsidRPr="00AE07E2" w:rsidRDefault="00752C60" w:rsidP="00AE07E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166D9" w:rsidRPr="00AE07E2" w:rsidRDefault="005F3C89" w:rsidP="004C4C7A">
      <w:pPr>
        <w:spacing w:before="0" w:after="120"/>
        <w:jc w:val="left"/>
        <w:rPr>
          <w:sz w:val="20"/>
        </w:rPr>
      </w:pPr>
      <w:r>
        <w:rPr>
          <w:rFonts w:hint="eastAsia"/>
          <w:sz w:val="20"/>
        </w:rPr>
        <w:t xml:space="preserve">In RAN4#95e meeting, </w:t>
      </w:r>
      <w:r w:rsidR="00F103AC">
        <w:rPr>
          <w:rFonts w:hint="eastAsia"/>
          <w:sz w:val="20"/>
        </w:rPr>
        <w:t>no consensus on t</w:t>
      </w:r>
      <w:r>
        <w:rPr>
          <w:rFonts w:hint="eastAsia"/>
          <w:sz w:val="20"/>
        </w:rPr>
        <w:t xml:space="preserve">he switching time and </w:t>
      </w:r>
      <w:r w:rsidR="00F103AC">
        <w:rPr>
          <w:rFonts w:hint="eastAsia"/>
          <w:sz w:val="20"/>
        </w:rPr>
        <w:t>switching period position were achieved</w:t>
      </w:r>
      <w:r w:rsidR="00766CFE">
        <w:rPr>
          <w:rFonts w:hint="eastAsia"/>
          <w:sz w:val="20"/>
        </w:rPr>
        <w:t xml:space="preserve"> [1]</w:t>
      </w:r>
      <w:r w:rsidR="00F103AC">
        <w:rPr>
          <w:rFonts w:hint="eastAsia"/>
          <w:sz w:val="20"/>
        </w:rPr>
        <w:t xml:space="preserve">. This contribution will provide our view on the switching time and </w:t>
      </w:r>
      <w:r w:rsidR="00F103AC">
        <w:rPr>
          <w:sz w:val="20"/>
        </w:rPr>
        <w:t>switching</w:t>
      </w:r>
      <w:r w:rsidR="00F103AC">
        <w:rPr>
          <w:rFonts w:hint="eastAsia"/>
          <w:sz w:val="20"/>
        </w:rPr>
        <w:t xml:space="preserve"> period position.</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E07E2" w:rsidRDefault="00AE07E2" w:rsidP="00AE07E2">
      <w:pPr>
        <w:spacing w:before="0" w:after="120"/>
        <w:jc w:val="left"/>
        <w:rPr>
          <w:sz w:val="20"/>
        </w:rPr>
      </w:pPr>
      <w:r>
        <w:rPr>
          <w:rFonts w:hint="eastAsia"/>
          <w:sz w:val="20"/>
        </w:rPr>
        <w:t>Regarding the switching time, the common understanding is that the frequency switching at the same band can be faster than that between different bands. 150us switching time can be used for intra-band switching between LTE V2X and NR V2X.</w:t>
      </w:r>
    </w:p>
    <w:p w:rsidR="007E6DF9" w:rsidRDefault="00BF27EF" w:rsidP="00F66732">
      <w:pPr>
        <w:spacing w:before="0" w:after="120"/>
        <w:jc w:val="left"/>
        <w:rPr>
          <w:sz w:val="20"/>
        </w:rPr>
      </w:pPr>
      <w:r>
        <w:rPr>
          <w:noProof/>
          <w:sz w:val="20"/>
          <w:lang w:val="en-US"/>
        </w:rPr>
        <mc:AlternateContent>
          <mc:Choice Requires="wps">
            <w:drawing>
              <wp:anchor distT="0" distB="0" distL="114300" distR="114300" simplePos="0" relativeHeight="251659264" behindDoc="0" locked="0" layoutInCell="1" allowOverlap="1" wp14:anchorId="0478686D" wp14:editId="1A4ADD37">
                <wp:simplePos x="0" y="0"/>
                <wp:positionH relativeFrom="column">
                  <wp:posOffset>53975</wp:posOffset>
                </wp:positionH>
                <wp:positionV relativeFrom="paragraph">
                  <wp:posOffset>315595</wp:posOffset>
                </wp:positionV>
                <wp:extent cx="6021705" cy="1170305"/>
                <wp:effectExtent l="0" t="0" r="17145" b="26035"/>
                <wp:wrapTopAndBottom/>
                <wp:docPr id="1" name="文本框 1"/>
                <wp:cNvGraphicFramePr/>
                <a:graphic xmlns:a="http://schemas.openxmlformats.org/drawingml/2006/main">
                  <a:graphicData uri="http://schemas.microsoft.com/office/word/2010/wordprocessingShape">
                    <wps:wsp>
                      <wps:cNvSpPr txBox="1"/>
                      <wps:spPr bwMode="auto">
                        <a:xfrm>
                          <a:off x="0" y="0"/>
                          <a:ext cx="6021705" cy="1170305"/>
                        </a:xfrm>
                        <a:prstGeom prst="rect">
                          <a:avLst/>
                        </a:prstGeom>
                        <a:solidFill>
                          <a:srgbClr val="FFFFFF"/>
                        </a:solidFill>
                        <a:ln w="9525">
                          <a:solidFill>
                            <a:srgbClr val="000000"/>
                          </a:solidFill>
                          <a:miter lim="800000"/>
                          <a:headEnd/>
                          <a:tailEnd/>
                        </a:ln>
                      </wps:spPr>
                      <wps:txbx>
                        <w:txbxContent>
                          <w:p w:rsidR="00BF27EF" w:rsidRPr="00BF27EF" w:rsidRDefault="00BF27EF" w:rsidP="00BF27EF">
                            <w:pPr>
                              <w:numPr>
                                <w:ilvl w:val="0"/>
                                <w:numId w:val="41"/>
                              </w:numPr>
                              <w:tabs>
                                <w:tab w:val="clear" w:pos="720"/>
                                <w:tab w:val="num" w:pos="300"/>
                              </w:tabs>
                              <w:snapToGrid w:val="0"/>
                              <w:spacing w:before="40" w:after="40"/>
                              <w:ind w:leftChars="-29" w:left="299"/>
                              <w:rPr>
                                <w:sz w:val="20"/>
                                <w:szCs w:val="20"/>
                                <w:lang w:val="en-US"/>
                              </w:rPr>
                            </w:pPr>
                            <w:r w:rsidRPr="00BF27EF">
                              <w:rPr>
                                <w:sz w:val="20"/>
                                <w:szCs w:val="20"/>
                              </w:rPr>
                              <w:t>TSG RAN has already agreed in TR 38.913 that it is not intended for NR V2X to replace the services offered by LTE V2X. Instead, the NR V2X shall complement LTE V2X for advanced V2X services and support interworking with LTE V2X. At least from 3GPP RAN technology development standpoint, the focus and scope of NR V2X is to target advanced V2X use cases. However, this does not imply that NR V2X cannot support basic safety use cases. It is clearly up to the regional regulators and the stakeholders involved (i.e. Car OEMs and automotive ecosystem in general) to decide on the technology of choice for any service and any use case.</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4.25pt;margin-top:24.85pt;width:474.15pt;height:92.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">
                <v:textbox style="mso-fit-shape-to-text:t">
                  <w:txbxContent>
                    <w:p w:rsidR="00BF27EF" w:rsidRPr="00BF27EF" w:rsidRDefault="00BF27EF" w:rsidP="00BF27EF">
                      <w:pPr>
                        <w:numPr>
                          <w:ilvl w:val="0"/>
                          <w:numId w:val="41"/>
                        </w:numPr>
                        <w:tabs>
                          <w:tab w:val="clear" w:pos="720"/>
                          <w:tab w:val="num" w:pos="300"/>
                        </w:tabs>
                        <w:snapToGrid w:val="0"/>
                        <w:spacing w:before="40" w:after="40"/>
                        <w:ind w:leftChars="-29" w:left="299"/>
                        <w:rPr>
                          <w:sz w:val="20"/>
                          <w:szCs w:val="20"/>
                          <w:lang w:val="en-US"/>
                        </w:rPr>
                      </w:pPr>
                      <w:r w:rsidRPr="00BF27EF">
                        <w:rPr>
                          <w:sz w:val="20"/>
                          <w:szCs w:val="20"/>
                        </w:rPr>
                        <w:t>TSG RAN has already agreed in TR 38.913 that it is not intended for NR V2X to replace the services offered by LTE V2X. Instead, the NR V2X shall complement LTE V2X for advanced V2X services and support interworking with LTE V2X. At least from 3GPP RAN technology development standpoint, the focus and scope of NR V2X is to target advanced V2X use cases. However, this does not imply that NR V2X cannot support basic safety use cases. It is clearly up to the regional regulators and the stakeholders involved (i.e. Car OEMs and automotive ecosystem in general) to decide on the technology of choice for any service and any use case.</w:t>
                      </w:r>
                    </w:p>
                  </w:txbxContent>
                </v:textbox>
                <w10:wrap type="topAndBottom"/>
              </v:shape>
            </w:pict>
          </mc:Fallback>
        </mc:AlternateContent>
      </w:r>
      <w:r w:rsidR="007E6DF9">
        <w:rPr>
          <w:rFonts w:hint="eastAsia"/>
          <w:sz w:val="20"/>
        </w:rPr>
        <w:t>The consensus on the duty of LTE V2X and NR V2X has been reached as below:</w:t>
      </w:r>
    </w:p>
    <w:p w:rsidR="00BF27EF" w:rsidRPr="00363D20" w:rsidRDefault="00BF27EF" w:rsidP="006D1B68">
      <w:pPr>
        <w:snapToGrid w:val="0"/>
        <w:spacing w:before="0" w:after="0"/>
        <w:rPr>
          <w:sz w:val="20"/>
        </w:rPr>
      </w:pPr>
    </w:p>
    <w:p w:rsidR="0022787B" w:rsidRDefault="007E6DF9" w:rsidP="00F66732">
      <w:pPr>
        <w:spacing w:before="0" w:after="120"/>
        <w:jc w:val="left"/>
        <w:rPr>
          <w:sz w:val="20"/>
        </w:rPr>
      </w:pPr>
      <w:r>
        <w:rPr>
          <w:rFonts w:hint="eastAsia"/>
          <w:sz w:val="20"/>
        </w:rPr>
        <w:t>I</w:t>
      </w:r>
      <w:r w:rsidR="0022787B" w:rsidRPr="00F66732">
        <w:rPr>
          <w:rFonts w:hint="eastAsia"/>
          <w:sz w:val="20"/>
        </w:rPr>
        <w:t>f the switching between</w:t>
      </w:r>
      <w:r w:rsidR="00D73D97" w:rsidRPr="00F66732">
        <w:rPr>
          <w:rFonts w:hint="eastAsia"/>
          <w:sz w:val="20"/>
        </w:rPr>
        <w:t xml:space="preserve"> LTE V2X</w:t>
      </w:r>
      <w:r w:rsidR="0022787B" w:rsidRPr="00F66732">
        <w:rPr>
          <w:rFonts w:hint="eastAsia"/>
          <w:sz w:val="20"/>
        </w:rPr>
        <w:t xml:space="preserve"> and NR V2X with TDM mode is need</w:t>
      </w:r>
      <w:r w:rsidR="00A039F3">
        <w:rPr>
          <w:rFonts w:hint="eastAsia"/>
          <w:sz w:val="20"/>
        </w:rPr>
        <w:t>ed</w:t>
      </w:r>
      <w:r w:rsidR="0022787B" w:rsidRPr="00F66732">
        <w:rPr>
          <w:rFonts w:hint="eastAsia"/>
          <w:sz w:val="20"/>
        </w:rPr>
        <w:t>, LTE V2X shall support the basic safety service</w:t>
      </w:r>
      <w:r w:rsidR="00A039F3">
        <w:rPr>
          <w:rFonts w:hint="eastAsia"/>
          <w:sz w:val="20"/>
        </w:rPr>
        <w:t>,</w:t>
      </w:r>
      <w:r w:rsidR="0022787B" w:rsidRPr="00F66732">
        <w:rPr>
          <w:rFonts w:hint="eastAsia"/>
          <w:sz w:val="20"/>
        </w:rPr>
        <w:t xml:space="preserve"> and NR V2X shall complement LTE V2X for advanced V2X service and support interworking with LTE V2X. LTE V2X will be higher priority RAT. </w:t>
      </w:r>
      <w:r>
        <w:rPr>
          <w:rFonts w:hint="eastAsia"/>
          <w:sz w:val="20"/>
        </w:rPr>
        <w:t>So t</w:t>
      </w:r>
      <w:r w:rsidR="0022787B" w:rsidRPr="00F66732">
        <w:rPr>
          <w:rFonts w:hint="eastAsia"/>
          <w:sz w:val="20"/>
        </w:rPr>
        <w:t xml:space="preserve">he switching </w:t>
      </w:r>
      <w:r>
        <w:rPr>
          <w:rFonts w:hint="eastAsia"/>
          <w:sz w:val="20"/>
        </w:rPr>
        <w:t xml:space="preserve">time </w:t>
      </w:r>
      <w:r w:rsidR="0022787B" w:rsidRPr="00F66732">
        <w:rPr>
          <w:rFonts w:hint="eastAsia"/>
          <w:sz w:val="20"/>
        </w:rPr>
        <w:t xml:space="preserve">should be </w:t>
      </w:r>
      <w:r>
        <w:rPr>
          <w:rFonts w:hint="eastAsia"/>
          <w:sz w:val="20"/>
        </w:rPr>
        <w:t>mainly placed</w:t>
      </w:r>
      <w:r w:rsidRPr="00F66732">
        <w:rPr>
          <w:rFonts w:hint="eastAsia"/>
          <w:sz w:val="20"/>
        </w:rPr>
        <w:t xml:space="preserve"> </w:t>
      </w:r>
      <w:r w:rsidR="0022787B" w:rsidRPr="00F66732">
        <w:rPr>
          <w:rFonts w:hint="eastAsia"/>
          <w:sz w:val="20"/>
        </w:rPr>
        <w:t xml:space="preserve">at NR V2X </w:t>
      </w:r>
      <w:r w:rsidR="00F66732" w:rsidRPr="00F66732">
        <w:rPr>
          <w:rFonts w:hint="eastAsia"/>
          <w:sz w:val="20"/>
        </w:rPr>
        <w:t>slot.</w:t>
      </w:r>
      <w:r>
        <w:rPr>
          <w:rFonts w:hint="eastAsia"/>
          <w:sz w:val="20"/>
        </w:rPr>
        <w:t xml:space="preserve"> Considering that the las</w:t>
      </w:r>
      <w:r w:rsidR="001070C1">
        <w:rPr>
          <w:rFonts w:hint="eastAsia"/>
          <w:sz w:val="20"/>
        </w:rPr>
        <w:t>t symbol</w:t>
      </w:r>
      <w:r w:rsidR="007579CC">
        <w:rPr>
          <w:rFonts w:hint="eastAsia"/>
          <w:sz w:val="20"/>
        </w:rPr>
        <w:t xml:space="preserve"> </w:t>
      </w:r>
      <w:r w:rsidR="001070C1">
        <w:rPr>
          <w:rFonts w:hint="eastAsia"/>
          <w:sz w:val="20"/>
        </w:rPr>
        <w:t xml:space="preserve">of </w:t>
      </w:r>
      <w:r w:rsidR="007579CC">
        <w:rPr>
          <w:rFonts w:hint="eastAsia"/>
          <w:sz w:val="20"/>
        </w:rPr>
        <w:t xml:space="preserve">each </w:t>
      </w:r>
      <w:r w:rsidR="001070C1">
        <w:rPr>
          <w:rFonts w:hint="eastAsia"/>
          <w:sz w:val="20"/>
        </w:rPr>
        <w:t>LTE V2X</w:t>
      </w:r>
      <w:r w:rsidR="007579CC">
        <w:rPr>
          <w:rFonts w:hint="eastAsia"/>
          <w:sz w:val="20"/>
        </w:rPr>
        <w:t xml:space="preserve"> </w:t>
      </w:r>
      <w:proofErr w:type="spellStart"/>
      <w:r w:rsidR="007579CC">
        <w:rPr>
          <w:rFonts w:hint="eastAsia"/>
          <w:sz w:val="20"/>
        </w:rPr>
        <w:t>subframe</w:t>
      </w:r>
      <w:proofErr w:type="spellEnd"/>
      <w:r w:rsidR="001070C1">
        <w:rPr>
          <w:rFonts w:hint="eastAsia"/>
          <w:sz w:val="20"/>
        </w:rPr>
        <w:t xml:space="preserve"> and NR V2X</w:t>
      </w:r>
      <w:r w:rsidR="007579CC">
        <w:rPr>
          <w:rFonts w:hint="eastAsia"/>
          <w:sz w:val="20"/>
        </w:rPr>
        <w:t xml:space="preserve"> slot</w:t>
      </w:r>
      <w:r w:rsidR="001070C1">
        <w:rPr>
          <w:rFonts w:hint="eastAsia"/>
          <w:sz w:val="20"/>
        </w:rPr>
        <w:t xml:space="preserve"> is guard symbol, the switching time can be specified as follows:</w:t>
      </w:r>
    </w:p>
    <w:p w:rsidR="001070C1" w:rsidRDefault="00AE07E2" w:rsidP="00AE07E2">
      <w:pPr>
        <w:pStyle w:val="afa"/>
        <w:numPr>
          <w:ilvl w:val="0"/>
          <w:numId w:val="45"/>
        </w:numPr>
        <w:spacing w:before="0" w:after="120"/>
        <w:ind w:firstLineChars="0"/>
        <w:jc w:val="left"/>
        <w:rPr>
          <w:sz w:val="20"/>
        </w:rPr>
      </w:pPr>
      <w:r w:rsidRPr="00AE07E2">
        <w:rPr>
          <w:rFonts w:hint="eastAsia"/>
          <w:sz w:val="20"/>
        </w:rPr>
        <w:t>LTE V2X switch</w:t>
      </w:r>
      <w:r>
        <w:rPr>
          <w:rFonts w:hint="eastAsia"/>
          <w:sz w:val="20"/>
        </w:rPr>
        <w:t>ing</w:t>
      </w:r>
      <w:r w:rsidRPr="00AE07E2">
        <w:rPr>
          <w:rFonts w:hint="eastAsia"/>
          <w:sz w:val="20"/>
        </w:rPr>
        <w:t xml:space="preserve"> to NR V2X</w:t>
      </w:r>
      <w:r>
        <w:rPr>
          <w:rFonts w:hint="eastAsia"/>
          <w:sz w:val="20"/>
        </w:rPr>
        <w:t xml:space="preserve">: </w:t>
      </w:r>
      <w:r w:rsidR="00DB2054">
        <w:rPr>
          <w:rFonts w:hint="eastAsia"/>
          <w:sz w:val="20"/>
        </w:rPr>
        <w:t>T</w:t>
      </w:r>
      <w:r w:rsidR="00C27945" w:rsidRPr="00AE07E2">
        <w:rPr>
          <w:rFonts w:hint="eastAsia"/>
          <w:sz w:val="20"/>
        </w:rPr>
        <w:t xml:space="preserve">he switching time including the transient periods should start from the guard symbol of LTE V2X and the rest part is placed </w:t>
      </w:r>
      <w:r w:rsidR="00F5664A">
        <w:rPr>
          <w:rFonts w:hint="eastAsia"/>
          <w:sz w:val="20"/>
        </w:rPr>
        <w:t>in</w:t>
      </w:r>
      <w:r w:rsidR="00C27945" w:rsidRPr="00AE07E2">
        <w:rPr>
          <w:rFonts w:hint="eastAsia"/>
          <w:sz w:val="20"/>
        </w:rPr>
        <w:t xml:space="preserve"> the following NR slot</w:t>
      </w:r>
      <w:r w:rsidR="007579CC">
        <w:rPr>
          <w:rFonts w:hint="eastAsia"/>
          <w:sz w:val="20"/>
        </w:rPr>
        <w:t>.</w:t>
      </w:r>
    </w:p>
    <w:p w:rsidR="00AE07E2" w:rsidRPr="00DB2054" w:rsidRDefault="007579CC" w:rsidP="00F66732">
      <w:pPr>
        <w:pStyle w:val="afa"/>
        <w:numPr>
          <w:ilvl w:val="0"/>
          <w:numId w:val="45"/>
        </w:numPr>
        <w:spacing w:before="0" w:after="120"/>
        <w:ind w:firstLineChars="0"/>
        <w:jc w:val="left"/>
        <w:rPr>
          <w:sz w:val="20"/>
        </w:rPr>
      </w:pPr>
      <w:r>
        <w:rPr>
          <w:rFonts w:hint="eastAsia"/>
          <w:sz w:val="20"/>
        </w:rPr>
        <w:t>NR V2X s</w:t>
      </w:r>
      <w:r w:rsidR="00AE07E2">
        <w:rPr>
          <w:rFonts w:hint="eastAsia"/>
          <w:sz w:val="20"/>
        </w:rPr>
        <w:t>witching</w:t>
      </w:r>
      <w:r>
        <w:rPr>
          <w:rFonts w:hint="eastAsia"/>
          <w:sz w:val="20"/>
        </w:rPr>
        <w:t xml:space="preserve"> to LTE V2X</w:t>
      </w:r>
      <w:r w:rsidR="00AE07E2">
        <w:rPr>
          <w:rFonts w:hint="eastAsia"/>
          <w:sz w:val="20"/>
        </w:rPr>
        <w:t xml:space="preserve">: </w:t>
      </w:r>
      <w:r w:rsidR="00DB2054">
        <w:rPr>
          <w:rFonts w:eastAsiaTheme="minorEastAsia" w:hint="eastAsia"/>
          <w:bCs/>
          <w:color w:val="000000" w:themeColor="text1"/>
          <w:lang w:val="en-US"/>
        </w:rPr>
        <w:t>O</w:t>
      </w:r>
      <w:r w:rsidR="00F5664A">
        <w:rPr>
          <w:rFonts w:eastAsiaTheme="minorEastAsia" w:hint="eastAsia"/>
          <w:bCs/>
          <w:color w:val="000000" w:themeColor="text1"/>
          <w:lang w:val="en-US"/>
        </w:rPr>
        <w:t xml:space="preserve">ne solution is that the whole switching time including the transient periods is placed in the NR slot. The alternative is to place the transient period of LTE (20us) in the LTE </w:t>
      </w:r>
      <w:proofErr w:type="spellStart"/>
      <w:r w:rsidR="00F5664A">
        <w:rPr>
          <w:rFonts w:eastAsiaTheme="minorEastAsia" w:hint="eastAsia"/>
          <w:bCs/>
          <w:color w:val="000000" w:themeColor="text1"/>
          <w:lang w:val="en-US"/>
        </w:rPr>
        <w:t>subframe</w:t>
      </w:r>
      <w:proofErr w:type="spellEnd"/>
      <w:r w:rsidR="00F5664A">
        <w:rPr>
          <w:rFonts w:eastAsiaTheme="minorEastAsia" w:hint="eastAsia"/>
          <w:bCs/>
          <w:color w:val="000000" w:themeColor="text1"/>
          <w:lang w:val="en-US"/>
        </w:rPr>
        <w:t xml:space="preserve"> and other part in the NR slot.</w:t>
      </w:r>
      <w:r w:rsidR="00BC556C">
        <w:rPr>
          <w:rFonts w:eastAsiaTheme="minorEastAsia" w:hint="eastAsia"/>
          <w:bCs/>
          <w:color w:val="000000" w:themeColor="text1"/>
          <w:lang w:val="en-US"/>
        </w:rPr>
        <w:t xml:space="preserve"> </w:t>
      </w:r>
    </w:p>
    <w:p w:rsidR="00F103AC" w:rsidRDefault="0022787B" w:rsidP="00F66732">
      <w:pPr>
        <w:spacing w:before="0" w:after="120"/>
        <w:jc w:val="left"/>
        <w:rPr>
          <w:sz w:val="20"/>
        </w:rPr>
      </w:pPr>
      <w:r w:rsidRPr="00F66732">
        <w:rPr>
          <w:rFonts w:hint="eastAsia"/>
          <w:sz w:val="20"/>
        </w:rPr>
        <w:t>If NR V2X</w:t>
      </w:r>
      <w:r w:rsidR="00F66732">
        <w:rPr>
          <w:rFonts w:hint="eastAsia"/>
          <w:sz w:val="20"/>
        </w:rPr>
        <w:t xml:space="preserve"> UE</w:t>
      </w:r>
      <w:r w:rsidRPr="00F66732">
        <w:rPr>
          <w:rFonts w:hint="eastAsia"/>
          <w:sz w:val="20"/>
        </w:rPr>
        <w:t xml:space="preserve"> supports basic safety service and advanced V2X service in some region, LTE V2X should not be necessary to </w:t>
      </w:r>
      <w:r w:rsidR="00F66732">
        <w:rPr>
          <w:rFonts w:hint="eastAsia"/>
          <w:sz w:val="20"/>
        </w:rPr>
        <w:t xml:space="preserve">be </w:t>
      </w:r>
      <w:r w:rsidRPr="00F66732">
        <w:rPr>
          <w:rFonts w:hint="eastAsia"/>
          <w:sz w:val="20"/>
        </w:rPr>
        <w:t>support</w:t>
      </w:r>
      <w:r w:rsidR="00F66732">
        <w:rPr>
          <w:rFonts w:hint="eastAsia"/>
          <w:sz w:val="20"/>
        </w:rPr>
        <w:t>ed</w:t>
      </w:r>
      <w:r w:rsidRPr="00F66732">
        <w:rPr>
          <w:rFonts w:hint="eastAsia"/>
          <w:sz w:val="20"/>
        </w:rPr>
        <w:t xml:space="preserve"> by </w:t>
      </w:r>
      <w:r w:rsidR="007E6DF9">
        <w:rPr>
          <w:rFonts w:hint="eastAsia"/>
          <w:sz w:val="20"/>
        </w:rPr>
        <w:t xml:space="preserve">the </w:t>
      </w:r>
      <w:r w:rsidRPr="00F66732">
        <w:rPr>
          <w:rFonts w:hint="eastAsia"/>
          <w:sz w:val="20"/>
        </w:rPr>
        <w:t xml:space="preserve">same V2X UE with TDM mode. </w:t>
      </w:r>
      <w:r w:rsidR="007E6DF9">
        <w:rPr>
          <w:rFonts w:hint="eastAsia"/>
          <w:sz w:val="20"/>
        </w:rPr>
        <w:t>In this case, it is not required to d</w:t>
      </w:r>
      <w:r w:rsidRPr="00F66732">
        <w:rPr>
          <w:rFonts w:hint="eastAsia"/>
          <w:sz w:val="20"/>
        </w:rPr>
        <w:t>efin</w:t>
      </w:r>
      <w:r w:rsidR="007E6DF9">
        <w:rPr>
          <w:rFonts w:hint="eastAsia"/>
          <w:sz w:val="20"/>
        </w:rPr>
        <w:t>e</w:t>
      </w:r>
      <w:r w:rsidRPr="00F66732">
        <w:rPr>
          <w:rFonts w:hint="eastAsia"/>
          <w:sz w:val="20"/>
        </w:rPr>
        <w:t xml:space="preserve"> </w:t>
      </w:r>
      <w:r w:rsidR="007E6DF9">
        <w:rPr>
          <w:rFonts w:hint="eastAsia"/>
          <w:sz w:val="20"/>
        </w:rPr>
        <w:t>the</w:t>
      </w:r>
      <w:r w:rsidR="007E6DF9" w:rsidRPr="00F66732">
        <w:rPr>
          <w:rFonts w:hint="eastAsia"/>
          <w:sz w:val="20"/>
        </w:rPr>
        <w:t xml:space="preserve"> </w:t>
      </w:r>
      <w:r w:rsidRPr="00F66732">
        <w:rPr>
          <w:rFonts w:hint="eastAsia"/>
          <w:sz w:val="20"/>
        </w:rPr>
        <w:t>switching period requirement</w:t>
      </w:r>
      <w:r w:rsidR="007E6DF9">
        <w:rPr>
          <w:rFonts w:hint="eastAsia"/>
          <w:sz w:val="20"/>
        </w:rPr>
        <w:t>.</w:t>
      </w:r>
    </w:p>
    <w:p w:rsidR="00AE07E2" w:rsidRPr="00AE07E2" w:rsidRDefault="00AE07E2" w:rsidP="00F66732">
      <w:pPr>
        <w:spacing w:before="0" w:after="120"/>
        <w:jc w:val="left"/>
        <w:rPr>
          <w:sz w:val="20"/>
        </w:rPr>
      </w:pPr>
    </w:p>
    <w:p w:rsidR="0022787B" w:rsidRPr="00F66732" w:rsidRDefault="00F66732" w:rsidP="00F66732">
      <w:pPr>
        <w:spacing w:before="0" w:after="120"/>
        <w:jc w:val="left"/>
        <w:rPr>
          <w:sz w:val="20"/>
        </w:rPr>
      </w:pPr>
      <w:r w:rsidRPr="00F66732">
        <w:rPr>
          <w:sz w:val="20"/>
        </w:rPr>
        <w:t>B</w:t>
      </w:r>
      <w:r w:rsidRPr="00F66732">
        <w:rPr>
          <w:rFonts w:hint="eastAsia"/>
          <w:sz w:val="20"/>
        </w:rPr>
        <w:t xml:space="preserve">ased on </w:t>
      </w:r>
      <w:r>
        <w:rPr>
          <w:rFonts w:hint="eastAsia"/>
          <w:sz w:val="20"/>
        </w:rPr>
        <w:t xml:space="preserve">above consideration, </w:t>
      </w:r>
      <w:r w:rsidR="000E1159">
        <w:rPr>
          <w:rFonts w:hint="eastAsia"/>
          <w:sz w:val="20"/>
        </w:rPr>
        <w:t>the following proposals are derived:</w:t>
      </w:r>
    </w:p>
    <w:p w:rsidR="00AE07E2" w:rsidRDefault="00AE07E2" w:rsidP="00AE07E2">
      <w:pPr>
        <w:rPr>
          <w:b/>
          <w:sz w:val="20"/>
          <w:szCs w:val="20"/>
        </w:rPr>
      </w:pPr>
      <w:r>
        <w:rPr>
          <w:rFonts w:hint="eastAsia"/>
          <w:b/>
          <w:sz w:val="20"/>
          <w:szCs w:val="20"/>
        </w:rPr>
        <w:t xml:space="preserve">Proposal </w:t>
      </w:r>
      <w:r w:rsidRPr="00730C4A">
        <w:rPr>
          <w:rFonts w:hint="eastAsia"/>
          <w:b/>
          <w:sz w:val="20"/>
          <w:szCs w:val="20"/>
          <w:lang w:val="en-US"/>
        </w:rPr>
        <w:t>1:</w:t>
      </w:r>
      <w:r w:rsidRPr="00F66732">
        <w:t xml:space="preserve"> </w:t>
      </w:r>
      <w:r w:rsidRPr="00F103AC">
        <w:rPr>
          <w:rFonts w:hint="eastAsia"/>
          <w:b/>
          <w:sz w:val="20"/>
          <w:szCs w:val="20"/>
        </w:rPr>
        <w:t>150us switching time can be used for intra-band switching between LTE V2X and NR V2X.</w:t>
      </w:r>
    </w:p>
    <w:p w:rsidR="00D22FF1" w:rsidRPr="00651579" w:rsidRDefault="00AE07E2" w:rsidP="00AE07E2">
      <w:pPr>
        <w:rPr>
          <w:b/>
          <w:sz w:val="20"/>
          <w:szCs w:val="20"/>
        </w:rPr>
      </w:pPr>
      <w:r>
        <w:rPr>
          <w:rFonts w:hint="eastAsia"/>
          <w:b/>
          <w:sz w:val="20"/>
          <w:szCs w:val="20"/>
        </w:rPr>
        <w:t xml:space="preserve">Proposal 2: The time mask for the switching between LTE V2X and NR V2X </w:t>
      </w:r>
      <w:r w:rsidR="004C4BF3">
        <w:rPr>
          <w:rFonts w:hint="eastAsia"/>
          <w:b/>
          <w:sz w:val="20"/>
          <w:szCs w:val="20"/>
        </w:rPr>
        <w:t xml:space="preserve">can be specified as </w:t>
      </w:r>
      <w:r w:rsidR="00496D5A">
        <w:rPr>
          <w:rFonts w:hint="eastAsia"/>
          <w:b/>
          <w:sz w:val="20"/>
          <w:szCs w:val="20"/>
        </w:rPr>
        <w:t>Figure</w:t>
      </w:r>
      <w:r w:rsidR="004C4BF3">
        <w:rPr>
          <w:rFonts w:hint="eastAsia"/>
          <w:b/>
          <w:sz w:val="20"/>
          <w:szCs w:val="20"/>
        </w:rPr>
        <w:t xml:space="preserve"> 1</w:t>
      </w:r>
      <w:r w:rsidR="00DB2054">
        <w:rPr>
          <w:rFonts w:hint="eastAsia"/>
          <w:b/>
          <w:sz w:val="20"/>
          <w:szCs w:val="20"/>
        </w:rPr>
        <w:t xml:space="preserve"> and Figure 2</w:t>
      </w:r>
      <w:r w:rsidR="004C4BF3">
        <w:rPr>
          <w:rFonts w:hint="eastAsia"/>
          <w:b/>
          <w:sz w:val="20"/>
          <w:szCs w:val="20"/>
        </w:rPr>
        <w:t>.</w:t>
      </w:r>
    </w:p>
    <w:p w:rsidR="00D22FF1" w:rsidRDefault="00A304F3" w:rsidP="00D22FF1">
      <w:r>
        <w:rPr>
          <w:noProof/>
          <w:lang w:val="en-US"/>
        </w:rPr>
        <w:lastRenderedPageBreak/>
        <w:drawing>
          <wp:inline distT="0" distB="0" distL="0" distR="0" wp14:anchorId="5BA0CF0A" wp14:editId="43339C0F">
            <wp:extent cx="5586046" cy="15826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9">
                      <a:extLst>
                        <a:ext uri="{28A0092B-C50C-407E-A947-70E740481C1C}">
                          <a14:useLocalDpi xmlns:a14="http://schemas.microsoft.com/office/drawing/2010/main" val="0"/>
                        </a:ext>
                      </a:extLst>
                    </a:blip>
                    <a:stretch>
                      <a:fillRect/>
                    </a:stretch>
                  </pic:blipFill>
                  <pic:spPr>
                    <a:xfrm>
                      <a:off x="0" y="0"/>
                      <a:ext cx="5588409" cy="1583284"/>
                    </a:xfrm>
                    <a:prstGeom prst="rect">
                      <a:avLst/>
                    </a:prstGeom>
                  </pic:spPr>
                </pic:pic>
              </a:graphicData>
            </a:graphic>
          </wp:inline>
        </w:drawing>
      </w:r>
    </w:p>
    <w:p w:rsidR="00D22FF1" w:rsidRPr="00D22FF1" w:rsidRDefault="00D22FF1" w:rsidP="00D22FF1">
      <w:pPr>
        <w:pStyle w:val="TF"/>
        <w:rPr>
          <w:lang w:eastAsia="zh-CN"/>
        </w:rPr>
      </w:pPr>
      <w:r>
        <w:t xml:space="preserve">Figure 1: Time mask for </w:t>
      </w:r>
      <w:r>
        <w:rPr>
          <w:rFonts w:hint="eastAsia"/>
          <w:lang w:eastAsia="zh-CN"/>
        </w:rPr>
        <w:t xml:space="preserve">NR SL </w:t>
      </w:r>
      <w:r>
        <w:t xml:space="preserve">switching </w:t>
      </w:r>
      <w:r>
        <w:rPr>
          <w:rFonts w:hint="eastAsia"/>
          <w:lang w:eastAsia="zh-CN"/>
        </w:rPr>
        <w:t>to</w:t>
      </w:r>
      <w:r>
        <w:t xml:space="preserve"> </w:t>
      </w:r>
      <w:r>
        <w:rPr>
          <w:rFonts w:hint="eastAsia"/>
          <w:lang w:eastAsia="zh-CN"/>
        </w:rPr>
        <w:t>LTE SL</w:t>
      </w:r>
      <w:r>
        <w:t xml:space="preserve"> </w:t>
      </w:r>
    </w:p>
    <w:p w:rsidR="00D22FF1" w:rsidRDefault="00A304F3" w:rsidP="00D22FF1">
      <w:r>
        <w:rPr>
          <w:noProof/>
          <w:lang w:val="en-US"/>
        </w:rPr>
        <w:drawing>
          <wp:inline distT="0" distB="0" distL="0" distR="0" wp14:anchorId="4BC3DD42" wp14:editId="340BF9A1">
            <wp:extent cx="5638800" cy="1711570"/>
            <wp:effectExtent l="0" t="0" r="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0">
                      <a:extLst>
                        <a:ext uri="{28A0092B-C50C-407E-A947-70E740481C1C}">
                          <a14:useLocalDpi xmlns:a14="http://schemas.microsoft.com/office/drawing/2010/main" val="0"/>
                        </a:ext>
                      </a:extLst>
                    </a:blip>
                    <a:stretch>
                      <a:fillRect/>
                    </a:stretch>
                  </pic:blipFill>
                  <pic:spPr>
                    <a:xfrm>
                      <a:off x="0" y="0"/>
                      <a:ext cx="5641186" cy="1712294"/>
                    </a:xfrm>
                    <a:prstGeom prst="rect">
                      <a:avLst/>
                    </a:prstGeom>
                  </pic:spPr>
                </pic:pic>
              </a:graphicData>
            </a:graphic>
          </wp:inline>
        </w:drawing>
      </w:r>
    </w:p>
    <w:p w:rsidR="00D22FF1" w:rsidRPr="00D22FF1" w:rsidRDefault="00D22FF1" w:rsidP="00D22FF1">
      <w:pPr>
        <w:pStyle w:val="TF"/>
        <w:rPr>
          <w:lang w:eastAsia="zh-CN"/>
        </w:rPr>
      </w:pPr>
      <w:r>
        <w:t xml:space="preserve">Figure 2: Time mask for </w:t>
      </w:r>
      <w:r>
        <w:rPr>
          <w:rFonts w:hint="eastAsia"/>
          <w:lang w:eastAsia="zh-CN"/>
        </w:rPr>
        <w:t>LTE</w:t>
      </w:r>
      <w:r>
        <w:t xml:space="preserve"> SL switching </w:t>
      </w:r>
      <w:r>
        <w:rPr>
          <w:rFonts w:hint="eastAsia"/>
          <w:lang w:eastAsia="zh-CN"/>
        </w:rPr>
        <w:t xml:space="preserve">to </w:t>
      </w:r>
      <w:r>
        <w:t>NR SL</w:t>
      </w:r>
    </w:p>
    <w:p w:rsidR="00730C4A" w:rsidRDefault="00DB2054" w:rsidP="00730C4A">
      <w:pPr>
        <w:rPr>
          <w:sz w:val="20"/>
          <w:szCs w:val="20"/>
        </w:rPr>
      </w:pPr>
      <w:r w:rsidRPr="00DB2054">
        <w:rPr>
          <w:rFonts w:hint="eastAsia"/>
          <w:sz w:val="20"/>
          <w:szCs w:val="20"/>
        </w:rPr>
        <w:t>The corresponding CR</w:t>
      </w:r>
      <w:r w:rsidR="00721CF0">
        <w:rPr>
          <w:rFonts w:hint="eastAsia"/>
          <w:sz w:val="20"/>
          <w:szCs w:val="20"/>
        </w:rPr>
        <w:t xml:space="preserve">s for 38.101-3 and 38.886 are derived in </w:t>
      </w:r>
      <w:r w:rsidRPr="00DB2054">
        <w:rPr>
          <w:rFonts w:hint="eastAsia"/>
          <w:sz w:val="20"/>
          <w:szCs w:val="20"/>
        </w:rPr>
        <w:t>o</w:t>
      </w:r>
      <w:bookmarkStart w:id="2" w:name="_GoBack"/>
      <w:bookmarkEnd w:id="2"/>
      <w:r w:rsidRPr="00DB2054">
        <w:rPr>
          <w:rFonts w:hint="eastAsia"/>
          <w:sz w:val="20"/>
          <w:szCs w:val="20"/>
        </w:rPr>
        <w:t>ur companion paper</w:t>
      </w:r>
      <w:r w:rsidR="001B19F5">
        <w:rPr>
          <w:rFonts w:hint="eastAsia"/>
          <w:sz w:val="20"/>
          <w:szCs w:val="20"/>
        </w:rPr>
        <w:t>s</w:t>
      </w:r>
      <w:r>
        <w:rPr>
          <w:rFonts w:hint="eastAsia"/>
          <w:sz w:val="20"/>
          <w:szCs w:val="20"/>
        </w:rPr>
        <w:t xml:space="preserve"> [</w:t>
      </w:r>
      <w:r w:rsidR="00753EBD">
        <w:rPr>
          <w:rFonts w:hint="eastAsia"/>
          <w:sz w:val="20"/>
          <w:szCs w:val="20"/>
        </w:rPr>
        <w:t>2</w:t>
      </w:r>
      <w:r>
        <w:rPr>
          <w:rFonts w:hint="eastAsia"/>
          <w:sz w:val="20"/>
          <w:szCs w:val="20"/>
        </w:rPr>
        <w:t>]</w:t>
      </w:r>
      <w:r w:rsidR="001B19F5">
        <w:rPr>
          <w:rFonts w:hint="eastAsia"/>
          <w:sz w:val="20"/>
          <w:szCs w:val="20"/>
        </w:rPr>
        <w:t>[3]</w:t>
      </w:r>
      <w:r>
        <w:rPr>
          <w:rFonts w:hint="eastAsia"/>
          <w:sz w:val="20"/>
          <w:szCs w:val="20"/>
        </w:rPr>
        <w:t>.</w:t>
      </w:r>
    </w:p>
    <w:p w:rsidR="00D22FF1" w:rsidRPr="001B19F5" w:rsidRDefault="00D22FF1" w:rsidP="00730C4A">
      <w:pPr>
        <w:rPr>
          <w:sz w:val="20"/>
          <w:szCs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784284">
        <w:rPr>
          <w:rFonts w:hint="eastAsia"/>
          <w:sz w:val="20"/>
          <w:lang w:val="en-US"/>
        </w:rPr>
        <w:t xml:space="preserve">further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7D3A47">
        <w:rPr>
          <w:rFonts w:hint="eastAsia"/>
          <w:sz w:val="20"/>
          <w:lang w:val="en-US"/>
        </w:rPr>
        <w:t xml:space="preserve">the </w:t>
      </w:r>
      <w:r w:rsidR="00F66732">
        <w:rPr>
          <w:rFonts w:hint="eastAsia"/>
          <w:sz w:val="20"/>
          <w:lang w:val="en-US"/>
        </w:rPr>
        <w:t>s</w:t>
      </w:r>
      <w:r w:rsidR="00F66732" w:rsidRPr="00F66732">
        <w:rPr>
          <w:sz w:val="20"/>
          <w:lang w:val="en-US"/>
        </w:rPr>
        <w:t xml:space="preserve">witching </w:t>
      </w:r>
      <w:r w:rsidR="00784284">
        <w:rPr>
          <w:rFonts w:hint="eastAsia"/>
          <w:sz w:val="20"/>
          <w:lang w:val="en-US"/>
        </w:rPr>
        <w:t xml:space="preserve">between </w:t>
      </w:r>
      <w:r w:rsidR="00F66732" w:rsidRPr="00F66732">
        <w:rPr>
          <w:sz w:val="20"/>
          <w:lang w:val="en-US"/>
        </w:rPr>
        <w:t xml:space="preserve">LTE V2X and NR V2X </w:t>
      </w:r>
      <w:r w:rsidR="00F66732">
        <w:rPr>
          <w:rFonts w:hint="eastAsia"/>
          <w:sz w:val="20"/>
          <w:lang w:val="en-US"/>
        </w:rPr>
        <w:t xml:space="preserve">with </w:t>
      </w:r>
      <w:r w:rsidR="00F66732" w:rsidRPr="00F66732">
        <w:rPr>
          <w:sz w:val="20"/>
          <w:lang w:val="en-US"/>
        </w:rPr>
        <w:t>TDM operation</w:t>
      </w:r>
      <w:r w:rsidR="00784284">
        <w:rPr>
          <w:rFonts w:hint="eastAsia"/>
          <w:sz w:val="20"/>
          <w:lang w:val="en-US"/>
        </w:rPr>
        <w:t>. The following proposals are derived:</w:t>
      </w:r>
    </w:p>
    <w:p w:rsidR="000B7F83" w:rsidRDefault="000B7F83" w:rsidP="000B7F83">
      <w:pPr>
        <w:rPr>
          <w:b/>
          <w:sz w:val="20"/>
          <w:szCs w:val="20"/>
        </w:rPr>
      </w:pPr>
      <w:r>
        <w:rPr>
          <w:rFonts w:hint="eastAsia"/>
          <w:b/>
          <w:sz w:val="20"/>
          <w:szCs w:val="20"/>
        </w:rPr>
        <w:t xml:space="preserve">Proposal </w:t>
      </w:r>
      <w:r w:rsidRPr="00730C4A">
        <w:rPr>
          <w:rFonts w:hint="eastAsia"/>
          <w:b/>
          <w:sz w:val="20"/>
          <w:szCs w:val="20"/>
          <w:lang w:val="en-US"/>
        </w:rPr>
        <w:t>1:</w:t>
      </w:r>
      <w:r w:rsidRPr="00F66732">
        <w:t xml:space="preserve"> </w:t>
      </w:r>
      <w:r w:rsidRPr="00F103AC">
        <w:rPr>
          <w:rFonts w:hint="eastAsia"/>
          <w:b/>
          <w:sz w:val="20"/>
          <w:szCs w:val="20"/>
        </w:rPr>
        <w:t>150us switching time can be used for intra-band switching between LTE V2X and NR V2X.</w:t>
      </w:r>
    </w:p>
    <w:p w:rsidR="000B7F83" w:rsidRPr="00AE07E2" w:rsidRDefault="000B7F83" w:rsidP="000B7F83">
      <w:pPr>
        <w:rPr>
          <w:b/>
          <w:sz w:val="20"/>
          <w:szCs w:val="20"/>
        </w:rPr>
      </w:pPr>
      <w:r>
        <w:rPr>
          <w:rFonts w:hint="eastAsia"/>
          <w:b/>
          <w:sz w:val="20"/>
          <w:szCs w:val="20"/>
        </w:rPr>
        <w:t>Proposal 2: The time mask for the switching between LTE V2X and NR V2X can be specified as Figure 1 and Figure 2.</w:t>
      </w:r>
    </w:p>
    <w:p w:rsidR="00A304F3" w:rsidRDefault="00A304F3" w:rsidP="00A304F3">
      <w:r>
        <w:rPr>
          <w:noProof/>
          <w:lang w:val="en-US"/>
        </w:rPr>
        <w:drawing>
          <wp:inline distT="0" distB="0" distL="0" distR="0" wp14:anchorId="7EDA6778" wp14:editId="1BC05916">
            <wp:extent cx="5586046" cy="15826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9">
                      <a:extLst>
                        <a:ext uri="{28A0092B-C50C-407E-A947-70E740481C1C}">
                          <a14:useLocalDpi xmlns:a14="http://schemas.microsoft.com/office/drawing/2010/main" val="0"/>
                        </a:ext>
                      </a:extLst>
                    </a:blip>
                    <a:stretch>
                      <a:fillRect/>
                    </a:stretch>
                  </pic:blipFill>
                  <pic:spPr>
                    <a:xfrm>
                      <a:off x="0" y="0"/>
                      <a:ext cx="5588409" cy="1583284"/>
                    </a:xfrm>
                    <a:prstGeom prst="rect">
                      <a:avLst/>
                    </a:prstGeom>
                  </pic:spPr>
                </pic:pic>
              </a:graphicData>
            </a:graphic>
          </wp:inline>
        </w:drawing>
      </w:r>
    </w:p>
    <w:p w:rsidR="00A304F3" w:rsidRPr="00D22FF1" w:rsidRDefault="00A304F3" w:rsidP="00A304F3">
      <w:pPr>
        <w:pStyle w:val="TF"/>
        <w:rPr>
          <w:lang w:eastAsia="zh-CN"/>
        </w:rPr>
      </w:pPr>
      <w:r>
        <w:t xml:space="preserve">Figure 1: Time mask for </w:t>
      </w:r>
      <w:r>
        <w:rPr>
          <w:rFonts w:hint="eastAsia"/>
          <w:lang w:eastAsia="zh-CN"/>
        </w:rPr>
        <w:t xml:space="preserve">NR SL </w:t>
      </w:r>
      <w:r>
        <w:t xml:space="preserve">switching </w:t>
      </w:r>
      <w:r>
        <w:rPr>
          <w:rFonts w:hint="eastAsia"/>
          <w:lang w:eastAsia="zh-CN"/>
        </w:rPr>
        <w:t>to</w:t>
      </w:r>
      <w:r>
        <w:t xml:space="preserve"> </w:t>
      </w:r>
      <w:r>
        <w:rPr>
          <w:rFonts w:hint="eastAsia"/>
          <w:lang w:eastAsia="zh-CN"/>
        </w:rPr>
        <w:t>LTE SL</w:t>
      </w:r>
      <w:r>
        <w:t xml:space="preserve"> </w:t>
      </w:r>
    </w:p>
    <w:p w:rsidR="00A304F3" w:rsidRDefault="00A304F3" w:rsidP="00A304F3">
      <w:r>
        <w:rPr>
          <w:noProof/>
          <w:lang w:val="en-US"/>
        </w:rPr>
        <w:lastRenderedPageBreak/>
        <w:drawing>
          <wp:inline distT="0" distB="0" distL="0" distR="0" wp14:anchorId="3D266973" wp14:editId="05A82D0F">
            <wp:extent cx="5638800" cy="1711570"/>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0">
                      <a:extLst>
                        <a:ext uri="{28A0092B-C50C-407E-A947-70E740481C1C}">
                          <a14:useLocalDpi xmlns:a14="http://schemas.microsoft.com/office/drawing/2010/main" val="0"/>
                        </a:ext>
                      </a:extLst>
                    </a:blip>
                    <a:stretch>
                      <a:fillRect/>
                    </a:stretch>
                  </pic:blipFill>
                  <pic:spPr>
                    <a:xfrm>
                      <a:off x="0" y="0"/>
                      <a:ext cx="5641186" cy="1712294"/>
                    </a:xfrm>
                    <a:prstGeom prst="rect">
                      <a:avLst/>
                    </a:prstGeom>
                  </pic:spPr>
                </pic:pic>
              </a:graphicData>
            </a:graphic>
          </wp:inline>
        </w:drawing>
      </w:r>
    </w:p>
    <w:p w:rsidR="00E345EC" w:rsidRPr="00A304F3" w:rsidRDefault="00A304F3" w:rsidP="00A304F3">
      <w:pPr>
        <w:pStyle w:val="TF"/>
        <w:rPr>
          <w:lang w:eastAsia="zh-CN"/>
        </w:rPr>
      </w:pPr>
      <w:r>
        <w:t xml:space="preserve">Figure 2: Time mask for </w:t>
      </w:r>
      <w:r>
        <w:rPr>
          <w:rFonts w:hint="eastAsia"/>
          <w:lang w:eastAsia="zh-CN"/>
        </w:rPr>
        <w:t>LTE</w:t>
      </w:r>
      <w:r>
        <w:t xml:space="preserve"> SL switching </w:t>
      </w:r>
      <w:r>
        <w:rPr>
          <w:rFonts w:hint="eastAsia"/>
          <w:lang w:eastAsia="zh-CN"/>
        </w:rPr>
        <w:t xml:space="preserve">to </w:t>
      </w:r>
      <w:r>
        <w:t>NR SL</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377E9" w:rsidRDefault="002E4536" w:rsidP="009377E9">
      <w:pPr>
        <w:pStyle w:val="ab"/>
        <w:ind w:left="566" w:hangingChars="283" w:hanging="566"/>
        <w:rPr>
          <w:sz w:val="20"/>
        </w:rPr>
      </w:pPr>
      <w:r w:rsidRPr="002E4536">
        <w:rPr>
          <w:sz w:val="20"/>
        </w:rPr>
        <w:t>[1]</w:t>
      </w:r>
      <w:r w:rsidRPr="002E4536">
        <w:rPr>
          <w:sz w:val="20"/>
        </w:rPr>
        <w:tab/>
      </w:r>
      <w:r w:rsidR="009377E9">
        <w:rPr>
          <w:sz w:val="20"/>
        </w:rPr>
        <w:t>R4-2009172</w:t>
      </w:r>
      <w:r w:rsidR="009377E9">
        <w:rPr>
          <w:rFonts w:hint="eastAsia"/>
          <w:sz w:val="20"/>
        </w:rPr>
        <w:t xml:space="preserve">, </w:t>
      </w:r>
      <w:r w:rsidR="009377E9" w:rsidRPr="009377E9">
        <w:rPr>
          <w:sz w:val="20"/>
        </w:rPr>
        <w:t>CR for TS 38.101-3 NR V2X con-current operation</w:t>
      </w:r>
      <w:r w:rsidR="009377E9">
        <w:rPr>
          <w:rFonts w:hint="eastAsia"/>
          <w:sz w:val="20"/>
        </w:rPr>
        <w:t>,</w:t>
      </w:r>
      <w:r w:rsidR="00991753">
        <w:rPr>
          <w:rFonts w:hint="eastAsia"/>
          <w:sz w:val="20"/>
        </w:rPr>
        <w:t xml:space="preserve"> Huawei, LGE, CATT,</w:t>
      </w:r>
      <w:r w:rsidR="009377E9">
        <w:rPr>
          <w:rFonts w:hint="eastAsia"/>
          <w:sz w:val="20"/>
        </w:rPr>
        <w:t xml:space="preserve"> RAN4#95e</w:t>
      </w:r>
    </w:p>
    <w:p w:rsidR="009377E9" w:rsidRDefault="009377E9" w:rsidP="009377E9">
      <w:pPr>
        <w:pStyle w:val="ab"/>
        <w:ind w:left="566" w:hangingChars="283" w:hanging="566"/>
        <w:rPr>
          <w:sz w:val="20"/>
        </w:rPr>
      </w:pPr>
      <w:r w:rsidRPr="002E4536">
        <w:rPr>
          <w:sz w:val="20"/>
        </w:rPr>
        <w:t>[</w:t>
      </w:r>
      <w:r>
        <w:rPr>
          <w:rFonts w:hint="eastAsia"/>
          <w:sz w:val="20"/>
        </w:rPr>
        <w:t>2</w:t>
      </w:r>
      <w:r w:rsidRPr="002E4536">
        <w:rPr>
          <w:sz w:val="20"/>
        </w:rPr>
        <w:t>]</w:t>
      </w:r>
      <w:r w:rsidRPr="002E4536">
        <w:rPr>
          <w:sz w:val="20"/>
        </w:rPr>
        <w:tab/>
      </w:r>
      <w:r>
        <w:rPr>
          <w:sz w:val="20"/>
        </w:rPr>
        <w:t>R4-20</w:t>
      </w:r>
      <w:r w:rsidR="006D518A">
        <w:rPr>
          <w:rFonts w:hint="eastAsia"/>
          <w:sz w:val="20"/>
        </w:rPr>
        <w:t>09824</w:t>
      </w:r>
      <w:r>
        <w:rPr>
          <w:rFonts w:hint="eastAsia"/>
          <w:sz w:val="20"/>
        </w:rPr>
        <w:t xml:space="preserve">, </w:t>
      </w:r>
      <w:r w:rsidRPr="009377E9">
        <w:rPr>
          <w:sz w:val="20"/>
        </w:rPr>
        <w:t xml:space="preserve">CR for TS 38.101-3, </w:t>
      </w:r>
      <w:r>
        <w:rPr>
          <w:rFonts w:hint="eastAsia"/>
          <w:sz w:val="20"/>
        </w:rPr>
        <w:t>Time mask</w:t>
      </w:r>
      <w:r w:rsidRPr="009377E9">
        <w:rPr>
          <w:sz w:val="20"/>
        </w:rPr>
        <w:t xml:space="preserve"> for </w:t>
      </w:r>
      <w:r w:rsidR="00E30BC2">
        <w:rPr>
          <w:rFonts w:hint="eastAsia"/>
          <w:sz w:val="20"/>
        </w:rPr>
        <w:t xml:space="preserve">TDM between </w:t>
      </w:r>
      <w:r w:rsidRPr="009377E9">
        <w:rPr>
          <w:sz w:val="20"/>
        </w:rPr>
        <w:t>NR V2X</w:t>
      </w:r>
      <w:r w:rsidR="00E30BC2">
        <w:rPr>
          <w:rFonts w:hint="eastAsia"/>
          <w:sz w:val="20"/>
        </w:rPr>
        <w:t xml:space="preserve"> and LTE V2X</w:t>
      </w:r>
      <w:r>
        <w:rPr>
          <w:rFonts w:hint="eastAsia"/>
          <w:sz w:val="20"/>
        </w:rPr>
        <w:t xml:space="preserve">, </w:t>
      </w:r>
      <w:r w:rsidR="00991753">
        <w:rPr>
          <w:rFonts w:hint="eastAsia"/>
          <w:sz w:val="20"/>
        </w:rPr>
        <w:t xml:space="preserve">CATT, </w:t>
      </w:r>
      <w:r>
        <w:rPr>
          <w:rFonts w:hint="eastAsia"/>
          <w:sz w:val="20"/>
        </w:rPr>
        <w:t>RAN4#96e</w:t>
      </w:r>
    </w:p>
    <w:p w:rsidR="006D518A" w:rsidRDefault="006D518A" w:rsidP="009377E9">
      <w:pPr>
        <w:pStyle w:val="ab"/>
        <w:ind w:left="566" w:hangingChars="283" w:hanging="566"/>
        <w:rPr>
          <w:sz w:val="20"/>
        </w:rPr>
      </w:pPr>
      <w:r>
        <w:rPr>
          <w:rFonts w:hint="eastAsia"/>
          <w:sz w:val="20"/>
        </w:rPr>
        <w:t>[3]</w:t>
      </w:r>
      <w:r>
        <w:rPr>
          <w:rFonts w:hint="eastAsia"/>
          <w:sz w:val="20"/>
        </w:rPr>
        <w:tab/>
      </w:r>
      <w:r>
        <w:rPr>
          <w:sz w:val="20"/>
        </w:rPr>
        <w:t>R4-20</w:t>
      </w:r>
      <w:r>
        <w:rPr>
          <w:rFonts w:hint="eastAsia"/>
          <w:sz w:val="20"/>
        </w:rPr>
        <w:t>09829</w:t>
      </w:r>
      <w:r w:rsidRPr="009377E9">
        <w:rPr>
          <w:sz w:val="20"/>
        </w:rPr>
        <w:t>,</w:t>
      </w:r>
      <w:r w:rsidRPr="006D518A">
        <w:t xml:space="preserve"> </w:t>
      </w:r>
      <w:r w:rsidRPr="006D518A">
        <w:rPr>
          <w:sz w:val="20"/>
        </w:rPr>
        <w:t>Switching period for NR V2X in ITS band</w:t>
      </w:r>
      <w:r>
        <w:rPr>
          <w:rFonts w:hint="eastAsia"/>
          <w:sz w:val="20"/>
        </w:rPr>
        <w:t>, CATT, RAN4#96e</w:t>
      </w:r>
    </w:p>
    <w:p w:rsidR="009377E9" w:rsidRPr="006D518A" w:rsidRDefault="009377E9" w:rsidP="009377E9">
      <w:pPr>
        <w:pStyle w:val="ab"/>
        <w:ind w:left="566" w:hangingChars="283" w:hanging="566"/>
        <w:rPr>
          <w:sz w:val="20"/>
        </w:rPr>
      </w:pPr>
    </w:p>
    <w:p w:rsidR="008F63B6" w:rsidRPr="00EA501D" w:rsidRDefault="008F63B6" w:rsidP="009377E9">
      <w:pPr>
        <w:pStyle w:val="ab"/>
        <w:ind w:left="566" w:hangingChars="283" w:hanging="566"/>
        <w:rPr>
          <w:sz w:val="20"/>
        </w:rPr>
      </w:pPr>
    </w:p>
    <w:sectPr w:rsidR="008F63B6" w:rsidRPr="00EA501D"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5A0" w:rsidRDefault="00BB05A0" w:rsidP="0095591C">
      <w:pPr>
        <w:spacing w:after="60"/>
        <w:ind w:left="210"/>
      </w:pPr>
      <w:r>
        <w:separator/>
      </w:r>
    </w:p>
  </w:endnote>
  <w:endnote w:type="continuationSeparator" w:id="0">
    <w:p w:rsidR="00BB05A0" w:rsidRDefault="00BB05A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51579">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5A0" w:rsidRDefault="00BB05A0" w:rsidP="0095591C">
      <w:pPr>
        <w:spacing w:after="60"/>
        <w:ind w:left="210"/>
      </w:pPr>
      <w:r>
        <w:separator/>
      </w:r>
    </w:p>
  </w:footnote>
  <w:footnote w:type="continuationSeparator" w:id="0">
    <w:p w:rsidR="00BB05A0" w:rsidRDefault="00BB05A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4E7DAA"/>
    <w:multiLevelType w:val="hybridMultilevel"/>
    <w:tmpl w:val="FA5AF456"/>
    <w:lvl w:ilvl="0" w:tplc="5456D4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4EC8B900">
      <w:numFmt w:val="bullet"/>
      <w:lvlText w:val="-"/>
      <w:lvlJc w:val="left"/>
      <w:pPr>
        <w:ind w:left="2520" w:hanging="168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4">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0AF33679"/>
    <w:multiLevelType w:val="hybridMultilevel"/>
    <w:tmpl w:val="F4B464C6"/>
    <w:lvl w:ilvl="0" w:tplc="592ED678">
      <w:start w:val="1"/>
      <w:numFmt w:val="bullet"/>
      <w:lvlText w:val="•"/>
      <w:lvlJc w:val="left"/>
      <w:pPr>
        <w:tabs>
          <w:tab w:val="num" w:pos="720"/>
        </w:tabs>
        <w:ind w:left="720" w:hanging="360"/>
      </w:pPr>
      <w:rPr>
        <w:rFonts w:ascii="Arial" w:hAnsi="Arial" w:hint="default"/>
      </w:rPr>
    </w:lvl>
    <w:lvl w:ilvl="1" w:tplc="53788BB4">
      <w:start w:val="3536"/>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7">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1">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2A5B16"/>
    <w:multiLevelType w:val="hybridMultilevel"/>
    <w:tmpl w:val="42845274"/>
    <w:lvl w:ilvl="0" w:tplc="7B9CA986">
      <w:start w:val="1"/>
      <w:numFmt w:val="bullet"/>
      <w:lvlText w:val="•"/>
      <w:lvlJc w:val="left"/>
      <w:pPr>
        <w:tabs>
          <w:tab w:val="num" w:pos="720"/>
        </w:tabs>
        <w:ind w:left="720" w:hanging="360"/>
      </w:pPr>
      <w:rPr>
        <w:rFonts w:ascii="Arial" w:hAnsi="Arial" w:hint="default"/>
      </w:rPr>
    </w:lvl>
    <w:lvl w:ilvl="1" w:tplc="1E08588E" w:tentative="1">
      <w:start w:val="1"/>
      <w:numFmt w:val="bullet"/>
      <w:lvlText w:val="•"/>
      <w:lvlJc w:val="left"/>
      <w:pPr>
        <w:tabs>
          <w:tab w:val="num" w:pos="1440"/>
        </w:tabs>
        <w:ind w:left="1440" w:hanging="360"/>
      </w:pPr>
      <w:rPr>
        <w:rFonts w:ascii="Arial" w:hAnsi="Arial" w:hint="default"/>
      </w:rPr>
    </w:lvl>
    <w:lvl w:ilvl="2" w:tplc="D7A8F0A2" w:tentative="1">
      <w:start w:val="1"/>
      <w:numFmt w:val="bullet"/>
      <w:lvlText w:val="•"/>
      <w:lvlJc w:val="left"/>
      <w:pPr>
        <w:tabs>
          <w:tab w:val="num" w:pos="2160"/>
        </w:tabs>
        <w:ind w:left="2160" w:hanging="360"/>
      </w:pPr>
      <w:rPr>
        <w:rFonts w:ascii="Arial" w:hAnsi="Arial" w:hint="default"/>
      </w:rPr>
    </w:lvl>
    <w:lvl w:ilvl="3" w:tplc="4112D98C" w:tentative="1">
      <w:start w:val="1"/>
      <w:numFmt w:val="bullet"/>
      <w:lvlText w:val="•"/>
      <w:lvlJc w:val="left"/>
      <w:pPr>
        <w:tabs>
          <w:tab w:val="num" w:pos="2880"/>
        </w:tabs>
        <w:ind w:left="2880" w:hanging="360"/>
      </w:pPr>
      <w:rPr>
        <w:rFonts w:ascii="Arial" w:hAnsi="Arial" w:hint="default"/>
      </w:rPr>
    </w:lvl>
    <w:lvl w:ilvl="4" w:tplc="58D8B76C" w:tentative="1">
      <w:start w:val="1"/>
      <w:numFmt w:val="bullet"/>
      <w:lvlText w:val="•"/>
      <w:lvlJc w:val="left"/>
      <w:pPr>
        <w:tabs>
          <w:tab w:val="num" w:pos="3600"/>
        </w:tabs>
        <w:ind w:left="3600" w:hanging="360"/>
      </w:pPr>
      <w:rPr>
        <w:rFonts w:ascii="Arial" w:hAnsi="Arial" w:hint="default"/>
      </w:rPr>
    </w:lvl>
    <w:lvl w:ilvl="5" w:tplc="3B967DA0" w:tentative="1">
      <w:start w:val="1"/>
      <w:numFmt w:val="bullet"/>
      <w:lvlText w:val="•"/>
      <w:lvlJc w:val="left"/>
      <w:pPr>
        <w:tabs>
          <w:tab w:val="num" w:pos="4320"/>
        </w:tabs>
        <w:ind w:left="4320" w:hanging="360"/>
      </w:pPr>
      <w:rPr>
        <w:rFonts w:ascii="Arial" w:hAnsi="Arial" w:hint="default"/>
      </w:rPr>
    </w:lvl>
    <w:lvl w:ilvl="6" w:tplc="F8E655F4" w:tentative="1">
      <w:start w:val="1"/>
      <w:numFmt w:val="bullet"/>
      <w:lvlText w:val="•"/>
      <w:lvlJc w:val="left"/>
      <w:pPr>
        <w:tabs>
          <w:tab w:val="num" w:pos="5040"/>
        </w:tabs>
        <w:ind w:left="5040" w:hanging="360"/>
      </w:pPr>
      <w:rPr>
        <w:rFonts w:ascii="Arial" w:hAnsi="Arial" w:hint="default"/>
      </w:rPr>
    </w:lvl>
    <w:lvl w:ilvl="7" w:tplc="F0DCB13E" w:tentative="1">
      <w:start w:val="1"/>
      <w:numFmt w:val="bullet"/>
      <w:lvlText w:val="•"/>
      <w:lvlJc w:val="left"/>
      <w:pPr>
        <w:tabs>
          <w:tab w:val="num" w:pos="5760"/>
        </w:tabs>
        <w:ind w:left="5760" w:hanging="360"/>
      </w:pPr>
      <w:rPr>
        <w:rFonts w:ascii="Arial" w:hAnsi="Arial" w:hint="default"/>
      </w:rPr>
    </w:lvl>
    <w:lvl w:ilvl="8" w:tplc="12B85D06" w:tentative="1">
      <w:start w:val="1"/>
      <w:numFmt w:val="bullet"/>
      <w:lvlText w:val="•"/>
      <w:lvlJc w:val="left"/>
      <w:pPr>
        <w:tabs>
          <w:tab w:val="num" w:pos="6480"/>
        </w:tabs>
        <w:ind w:left="6480" w:hanging="360"/>
      </w:pPr>
      <w:rPr>
        <w:rFonts w:ascii="Arial" w:hAnsi="Aria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2">
    <w:nsid w:val="49F570FF"/>
    <w:multiLevelType w:val="hybridMultilevel"/>
    <w:tmpl w:val="6EFAE4B0"/>
    <w:lvl w:ilvl="0" w:tplc="E6B07ABE">
      <w:start w:val="1"/>
      <w:numFmt w:val="bullet"/>
      <w:lvlText w:val="–"/>
      <w:lvlJc w:val="left"/>
      <w:pPr>
        <w:tabs>
          <w:tab w:val="num" w:pos="720"/>
        </w:tabs>
        <w:ind w:left="720" w:hanging="360"/>
      </w:pPr>
      <w:rPr>
        <w:rFonts w:ascii="Arial" w:hAnsi="Arial" w:hint="default"/>
      </w:rPr>
    </w:lvl>
    <w:lvl w:ilvl="1" w:tplc="3D205DEC">
      <w:start w:val="1"/>
      <w:numFmt w:val="bullet"/>
      <w:lvlText w:val="–"/>
      <w:lvlJc w:val="left"/>
      <w:pPr>
        <w:tabs>
          <w:tab w:val="num" w:pos="1440"/>
        </w:tabs>
        <w:ind w:left="1440" w:hanging="360"/>
      </w:pPr>
      <w:rPr>
        <w:rFonts w:ascii="Arial" w:hAnsi="Arial" w:hint="default"/>
      </w:rPr>
    </w:lvl>
    <w:lvl w:ilvl="2" w:tplc="9B84B6F4" w:tentative="1">
      <w:start w:val="1"/>
      <w:numFmt w:val="bullet"/>
      <w:lvlText w:val="–"/>
      <w:lvlJc w:val="left"/>
      <w:pPr>
        <w:tabs>
          <w:tab w:val="num" w:pos="2160"/>
        </w:tabs>
        <w:ind w:left="2160" w:hanging="360"/>
      </w:pPr>
      <w:rPr>
        <w:rFonts w:ascii="Arial" w:hAnsi="Arial" w:hint="default"/>
      </w:rPr>
    </w:lvl>
    <w:lvl w:ilvl="3" w:tplc="4A04F23A" w:tentative="1">
      <w:start w:val="1"/>
      <w:numFmt w:val="bullet"/>
      <w:lvlText w:val="–"/>
      <w:lvlJc w:val="left"/>
      <w:pPr>
        <w:tabs>
          <w:tab w:val="num" w:pos="2880"/>
        </w:tabs>
        <w:ind w:left="2880" w:hanging="360"/>
      </w:pPr>
      <w:rPr>
        <w:rFonts w:ascii="Arial" w:hAnsi="Arial" w:hint="default"/>
      </w:rPr>
    </w:lvl>
    <w:lvl w:ilvl="4" w:tplc="4A6EF1B6" w:tentative="1">
      <w:start w:val="1"/>
      <w:numFmt w:val="bullet"/>
      <w:lvlText w:val="–"/>
      <w:lvlJc w:val="left"/>
      <w:pPr>
        <w:tabs>
          <w:tab w:val="num" w:pos="3600"/>
        </w:tabs>
        <w:ind w:left="3600" w:hanging="360"/>
      </w:pPr>
      <w:rPr>
        <w:rFonts w:ascii="Arial" w:hAnsi="Arial" w:hint="default"/>
      </w:rPr>
    </w:lvl>
    <w:lvl w:ilvl="5" w:tplc="82AA402A" w:tentative="1">
      <w:start w:val="1"/>
      <w:numFmt w:val="bullet"/>
      <w:lvlText w:val="–"/>
      <w:lvlJc w:val="left"/>
      <w:pPr>
        <w:tabs>
          <w:tab w:val="num" w:pos="4320"/>
        </w:tabs>
        <w:ind w:left="4320" w:hanging="360"/>
      </w:pPr>
      <w:rPr>
        <w:rFonts w:ascii="Arial" w:hAnsi="Arial" w:hint="default"/>
      </w:rPr>
    </w:lvl>
    <w:lvl w:ilvl="6" w:tplc="E3D039E6" w:tentative="1">
      <w:start w:val="1"/>
      <w:numFmt w:val="bullet"/>
      <w:lvlText w:val="–"/>
      <w:lvlJc w:val="left"/>
      <w:pPr>
        <w:tabs>
          <w:tab w:val="num" w:pos="5040"/>
        </w:tabs>
        <w:ind w:left="5040" w:hanging="360"/>
      </w:pPr>
      <w:rPr>
        <w:rFonts w:ascii="Arial" w:hAnsi="Arial" w:hint="default"/>
      </w:rPr>
    </w:lvl>
    <w:lvl w:ilvl="7" w:tplc="A88CB01C" w:tentative="1">
      <w:start w:val="1"/>
      <w:numFmt w:val="bullet"/>
      <w:lvlText w:val="–"/>
      <w:lvlJc w:val="left"/>
      <w:pPr>
        <w:tabs>
          <w:tab w:val="num" w:pos="5760"/>
        </w:tabs>
        <w:ind w:left="5760" w:hanging="360"/>
      </w:pPr>
      <w:rPr>
        <w:rFonts w:ascii="Arial" w:hAnsi="Arial" w:hint="default"/>
      </w:rPr>
    </w:lvl>
    <w:lvl w:ilvl="8" w:tplc="9F7E3952" w:tentative="1">
      <w:start w:val="1"/>
      <w:numFmt w:val="bullet"/>
      <w:lvlText w:val="–"/>
      <w:lvlJc w:val="left"/>
      <w:pPr>
        <w:tabs>
          <w:tab w:val="num" w:pos="6480"/>
        </w:tabs>
        <w:ind w:left="6480" w:hanging="360"/>
      </w:pPr>
      <w:rPr>
        <w:rFonts w:ascii="Arial" w:hAnsi="Arial" w:hint="default"/>
      </w:rPr>
    </w:lvl>
  </w:abstractNum>
  <w:abstractNum w:abstractNumId="23">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9">
    <w:nsid w:val="629B1B17"/>
    <w:multiLevelType w:val="hybridMultilevel"/>
    <w:tmpl w:val="E884C468"/>
    <w:lvl w:ilvl="0" w:tplc="592ED678">
      <w:start w:val="1"/>
      <w:numFmt w:val="bullet"/>
      <w:lvlText w:val="•"/>
      <w:lvlJc w:val="left"/>
      <w:pPr>
        <w:tabs>
          <w:tab w:val="num" w:pos="720"/>
        </w:tabs>
        <w:ind w:left="720" w:hanging="360"/>
      </w:pPr>
      <w:rPr>
        <w:rFonts w:ascii="Arial" w:hAnsi="Arial" w:hint="default"/>
      </w:rPr>
    </w:lvl>
    <w:lvl w:ilvl="1" w:tplc="9E0CDBC8">
      <w:start w:val="1695"/>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30">
    <w:nsid w:val="674B053F"/>
    <w:multiLevelType w:val="hybridMultilevel"/>
    <w:tmpl w:val="C31EEFCC"/>
    <w:lvl w:ilvl="0" w:tplc="0F769228">
      <w:start w:val="1"/>
      <w:numFmt w:val="bullet"/>
      <w:lvlText w:val="•"/>
      <w:lvlJc w:val="left"/>
      <w:pPr>
        <w:tabs>
          <w:tab w:val="num" w:pos="360"/>
        </w:tabs>
        <w:ind w:left="360" w:hanging="360"/>
      </w:pPr>
      <w:rPr>
        <w:rFonts w:ascii="Arial" w:hAnsi="Arial" w:hint="default"/>
      </w:rPr>
    </w:lvl>
    <w:lvl w:ilvl="1" w:tplc="9E0CDBC8">
      <w:start w:val="1695"/>
      <w:numFmt w:val="bullet"/>
      <w:lvlText w:val="–"/>
      <w:lvlJc w:val="left"/>
      <w:pPr>
        <w:tabs>
          <w:tab w:val="num" w:pos="1080"/>
        </w:tabs>
        <w:ind w:left="1080" w:hanging="360"/>
      </w:pPr>
      <w:rPr>
        <w:rFonts w:ascii="Arial" w:hAnsi="Arial" w:hint="default"/>
      </w:rPr>
    </w:lvl>
    <w:lvl w:ilvl="2" w:tplc="2278D312" w:tentative="1">
      <w:start w:val="1"/>
      <w:numFmt w:val="bullet"/>
      <w:lvlText w:val="•"/>
      <w:lvlJc w:val="left"/>
      <w:pPr>
        <w:tabs>
          <w:tab w:val="num" w:pos="1800"/>
        </w:tabs>
        <w:ind w:left="1800" w:hanging="360"/>
      </w:pPr>
      <w:rPr>
        <w:rFonts w:ascii="Arial" w:hAnsi="Arial" w:hint="default"/>
      </w:rPr>
    </w:lvl>
    <w:lvl w:ilvl="3" w:tplc="CF0C94D6" w:tentative="1">
      <w:start w:val="1"/>
      <w:numFmt w:val="bullet"/>
      <w:lvlText w:val="•"/>
      <w:lvlJc w:val="left"/>
      <w:pPr>
        <w:tabs>
          <w:tab w:val="num" w:pos="2520"/>
        </w:tabs>
        <w:ind w:left="2520" w:hanging="360"/>
      </w:pPr>
      <w:rPr>
        <w:rFonts w:ascii="Arial" w:hAnsi="Arial" w:hint="default"/>
      </w:rPr>
    </w:lvl>
    <w:lvl w:ilvl="4" w:tplc="3ECEE8D8" w:tentative="1">
      <w:start w:val="1"/>
      <w:numFmt w:val="bullet"/>
      <w:lvlText w:val="•"/>
      <w:lvlJc w:val="left"/>
      <w:pPr>
        <w:tabs>
          <w:tab w:val="num" w:pos="3240"/>
        </w:tabs>
        <w:ind w:left="3240" w:hanging="360"/>
      </w:pPr>
      <w:rPr>
        <w:rFonts w:ascii="Arial" w:hAnsi="Arial" w:hint="default"/>
      </w:rPr>
    </w:lvl>
    <w:lvl w:ilvl="5" w:tplc="41AA96C2" w:tentative="1">
      <w:start w:val="1"/>
      <w:numFmt w:val="bullet"/>
      <w:lvlText w:val="•"/>
      <w:lvlJc w:val="left"/>
      <w:pPr>
        <w:tabs>
          <w:tab w:val="num" w:pos="3960"/>
        </w:tabs>
        <w:ind w:left="3960" w:hanging="360"/>
      </w:pPr>
      <w:rPr>
        <w:rFonts w:ascii="Arial" w:hAnsi="Arial" w:hint="default"/>
      </w:rPr>
    </w:lvl>
    <w:lvl w:ilvl="6" w:tplc="35823980" w:tentative="1">
      <w:start w:val="1"/>
      <w:numFmt w:val="bullet"/>
      <w:lvlText w:val="•"/>
      <w:lvlJc w:val="left"/>
      <w:pPr>
        <w:tabs>
          <w:tab w:val="num" w:pos="4680"/>
        </w:tabs>
        <w:ind w:left="4680" w:hanging="360"/>
      </w:pPr>
      <w:rPr>
        <w:rFonts w:ascii="Arial" w:hAnsi="Arial" w:hint="default"/>
      </w:rPr>
    </w:lvl>
    <w:lvl w:ilvl="7" w:tplc="2B305EC0" w:tentative="1">
      <w:start w:val="1"/>
      <w:numFmt w:val="bullet"/>
      <w:lvlText w:val="•"/>
      <w:lvlJc w:val="left"/>
      <w:pPr>
        <w:tabs>
          <w:tab w:val="num" w:pos="5400"/>
        </w:tabs>
        <w:ind w:left="5400" w:hanging="360"/>
      </w:pPr>
      <w:rPr>
        <w:rFonts w:ascii="Arial" w:hAnsi="Arial" w:hint="default"/>
      </w:rPr>
    </w:lvl>
    <w:lvl w:ilvl="8" w:tplc="5E4E35D8" w:tentative="1">
      <w:start w:val="1"/>
      <w:numFmt w:val="bullet"/>
      <w:lvlText w:val="•"/>
      <w:lvlJc w:val="left"/>
      <w:pPr>
        <w:tabs>
          <w:tab w:val="num" w:pos="6120"/>
        </w:tabs>
        <w:ind w:left="6120" w:hanging="360"/>
      </w:pPr>
      <w:rPr>
        <w:rFonts w:ascii="Arial" w:hAnsi="Arial"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C17EFB"/>
    <w:multiLevelType w:val="hybridMultilevel"/>
    <w:tmpl w:val="8F0660A2"/>
    <w:lvl w:ilvl="0" w:tplc="93E4F8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5">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6">
    <w:nsid w:val="76927E15"/>
    <w:multiLevelType w:val="hybridMultilevel"/>
    <w:tmpl w:val="9160AB6E"/>
    <w:lvl w:ilvl="0" w:tplc="9E0CDBC8">
      <w:start w:val="169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BF6517B"/>
    <w:multiLevelType w:val="hybridMultilevel"/>
    <w:tmpl w:val="396A11AA"/>
    <w:lvl w:ilvl="0" w:tplc="1122C1C6">
      <w:start w:val="1"/>
      <w:numFmt w:val="bullet"/>
      <w:lvlText w:val="•"/>
      <w:lvlJc w:val="left"/>
      <w:pPr>
        <w:tabs>
          <w:tab w:val="num" w:pos="720"/>
        </w:tabs>
        <w:ind w:left="720" w:hanging="360"/>
      </w:pPr>
      <w:rPr>
        <w:rFonts w:ascii="Arial" w:hAnsi="Arial" w:hint="default"/>
      </w:rPr>
    </w:lvl>
    <w:lvl w:ilvl="1" w:tplc="56F6B730">
      <w:start w:val="1513"/>
      <w:numFmt w:val="bullet"/>
      <w:lvlText w:val="•"/>
      <w:lvlJc w:val="left"/>
      <w:pPr>
        <w:tabs>
          <w:tab w:val="num" w:pos="1440"/>
        </w:tabs>
        <w:ind w:left="1440" w:hanging="360"/>
      </w:pPr>
      <w:rPr>
        <w:rFonts w:ascii="Arial" w:hAnsi="Arial" w:hint="default"/>
      </w:rPr>
    </w:lvl>
    <w:lvl w:ilvl="2" w:tplc="1BDE95A2" w:tentative="1">
      <w:start w:val="1"/>
      <w:numFmt w:val="bullet"/>
      <w:lvlText w:val="•"/>
      <w:lvlJc w:val="left"/>
      <w:pPr>
        <w:tabs>
          <w:tab w:val="num" w:pos="2160"/>
        </w:tabs>
        <w:ind w:left="2160" w:hanging="360"/>
      </w:pPr>
      <w:rPr>
        <w:rFonts w:ascii="Arial" w:hAnsi="Arial" w:hint="default"/>
      </w:rPr>
    </w:lvl>
    <w:lvl w:ilvl="3" w:tplc="DB7CCE12" w:tentative="1">
      <w:start w:val="1"/>
      <w:numFmt w:val="bullet"/>
      <w:lvlText w:val="•"/>
      <w:lvlJc w:val="left"/>
      <w:pPr>
        <w:tabs>
          <w:tab w:val="num" w:pos="2880"/>
        </w:tabs>
        <w:ind w:left="2880" w:hanging="360"/>
      </w:pPr>
      <w:rPr>
        <w:rFonts w:ascii="Arial" w:hAnsi="Arial" w:hint="default"/>
      </w:rPr>
    </w:lvl>
    <w:lvl w:ilvl="4" w:tplc="106C3B72" w:tentative="1">
      <w:start w:val="1"/>
      <w:numFmt w:val="bullet"/>
      <w:lvlText w:val="•"/>
      <w:lvlJc w:val="left"/>
      <w:pPr>
        <w:tabs>
          <w:tab w:val="num" w:pos="3600"/>
        </w:tabs>
        <w:ind w:left="3600" w:hanging="360"/>
      </w:pPr>
      <w:rPr>
        <w:rFonts w:ascii="Arial" w:hAnsi="Arial" w:hint="default"/>
      </w:rPr>
    </w:lvl>
    <w:lvl w:ilvl="5" w:tplc="E15C26D2" w:tentative="1">
      <w:start w:val="1"/>
      <w:numFmt w:val="bullet"/>
      <w:lvlText w:val="•"/>
      <w:lvlJc w:val="left"/>
      <w:pPr>
        <w:tabs>
          <w:tab w:val="num" w:pos="4320"/>
        </w:tabs>
        <w:ind w:left="4320" w:hanging="360"/>
      </w:pPr>
      <w:rPr>
        <w:rFonts w:ascii="Arial" w:hAnsi="Arial" w:hint="default"/>
      </w:rPr>
    </w:lvl>
    <w:lvl w:ilvl="6" w:tplc="CEB20506" w:tentative="1">
      <w:start w:val="1"/>
      <w:numFmt w:val="bullet"/>
      <w:lvlText w:val="•"/>
      <w:lvlJc w:val="left"/>
      <w:pPr>
        <w:tabs>
          <w:tab w:val="num" w:pos="5040"/>
        </w:tabs>
        <w:ind w:left="5040" w:hanging="360"/>
      </w:pPr>
      <w:rPr>
        <w:rFonts w:ascii="Arial" w:hAnsi="Arial" w:hint="default"/>
      </w:rPr>
    </w:lvl>
    <w:lvl w:ilvl="7" w:tplc="29A296E0" w:tentative="1">
      <w:start w:val="1"/>
      <w:numFmt w:val="bullet"/>
      <w:lvlText w:val="•"/>
      <w:lvlJc w:val="left"/>
      <w:pPr>
        <w:tabs>
          <w:tab w:val="num" w:pos="5760"/>
        </w:tabs>
        <w:ind w:left="5760" w:hanging="360"/>
      </w:pPr>
      <w:rPr>
        <w:rFonts w:ascii="Arial" w:hAnsi="Arial" w:hint="default"/>
      </w:rPr>
    </w:lvl>
    <w:lvl w:ilvl="8" w:tplc="9A821822" w:tentative="1">
      <w:start w:val="1"/>
      <w:numFmt w:val="bullet"/>
      <w:lvlText w:val="•"/>
      <w:lvlJc w:val="left"/>
      <w:pPr>
        <w:tabs>
          <w:tab w:val="num" w:pos="6480"/>
        </w:tabs>
        <w:ind w:left="6480" w:hanging="360"/>
      </w:pPr>
      <w:rPr>
        <w:rFonts w:ascii="Arial" w:hAnsi="Arial" w:hint="default"/>
      </w:rPr>
    </w:lvl>
  </w:abstractNum>
  <w:abstractNum w:abstractNumId="43">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4">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9"/>
  </w:num>
  <w:num w:numId="3">
    <w:abstractNumId w:val="5"/>
  </w:num>
  <w:num w:numId="4">
    <w:abstractNumId w:val="24"/>
  </w:num>
  <w:num w:numId="5">
    <w:abstractNumId w:val="15"/>
  </w:num>
  <w:num w:numId="6">
    <w:abstractNumId w:val="38"/>
  </w:num>
  <w:num w:numId="7">
    <w:abstractNumId w:val="8"/>
  </w:num>
  <w:num w:numId="8">
    <w:abstractNumId w:val="26"/>
  </w:num>
  <w:num w:numId="9">
    <w:abstractNumId w:val="18"/>
  </w:num>
  <w:num w:numId="10">
    <w:abstractNumId w:val="33"/>
  </w:num>
  <w:num w:numId="11">
    <w:abstractNumId w:val="39"/>
  </w:num>
  <w:num w:numId="12">
    <w:abstractNumId w:val="41"/>
  </w:num>
  <w:num w:numId="13">
    <w:abstractNumId w:val="19"/>
  </w:num>
  <w:num w:numId="14">
    <w:abstractNumId w:val="20"/>
  </w:num>
  <w:num w:numId="15">
    <w:abstractNumId w:val="17"/>
  </w:num>
  <w:num w:numId="16">
    <w:abstractNumId w:val="31"/>
  </w:num>
  <w:num w:numId="17">
    <w:abstractNumId w:val="0"/>
  </w:num>
  <w:num w:numId="18">
    <w:abstractNumId w:val="37"/>
  </w:num>
  <w:num w:numId="19">
    <w:abstractNumId w:val="44"/>
  </w:num>
  <w:num w:numId="20">
    <w:abstractNumId w:val="21"/>
  </w:num>
  <w:num w:numId="21">
    <w:abstractNumId w:val="34"/>
  </w:num>
  <w:num w:numId="22">
    <w:abstractNumId w:val="43"/>
  </w:num>
  <w:num w:numId="23">
    <w:abstractNumId w:val="3"/>
  </w:num>
  <w:num w:numId="24">
    <w:abstractNumId w:val="14"/>
  </w:num>
  <w:num w:numId="25">
    <w:abstractNumId w:val="28"/>
  </w:num>
  <w:num w:numId="26">
    <w:abstractNumId w:val="10"/>
  </w:num>
  <w:num w:numId="27">
    <w:abstractNumId w:val="2"/>
  </w:num>
  <w:num w:numId="28">
    <w:abstractNumId w:val="35"/>
  </w:num>
  <w:num w:numId="29">
    <w:abstractNumId w:val="23"/>
  </w:num>
  <w:num w:numId="30">
    <w:abstractNumId w:val="7"/>
  </w:num>
  <w:num w:numId="31">
    <w:abstractNumId w:val="13"/>
  </w:num>
  <w:num w:numId="32">
    <w:abstractNumId w:val="11"/>
  </w:num>
  <w:num w:numId="33">
    <w:abstractNumId w:val="40"/>
  </w:num>
  <w:num w:numId="34">
    <w:abstractNumId w:val="25"/>
  </w:num>
  <w:num w:numId="35">
    <w:abstractNumId w:val="4"/>
  </w:num>
  <w:num w:numId="36">
    <w:abstractNumId w:val="12"/>
  </w:num>
  <w:num w:numId="37">
    <w:abstractNumId w:val="30"/>
  </w:num>
  <w:num w:numId="38">
    <w:abstractNumId w:val="22"/>
  </w:num>
  <w:num w:numId="39">
    <w:abstractNumId w:val="16"/>
  </w:num>
  <w:num w:numId="40">
    <w:abstractNumId w:val="1"/>
  </w:num>
  <w:num w:numId="41">
    <w:abstractNumId w:val="6"/>
  </w:num>
  <w:num w:numId="42">
    <w:abstractNumId w:val="29"/>
  </w:num>
  <w:num w:numId="43">
    <w:abstractNumId w:val="42"/>
  </w:num>
  <w:num w:numId="44">
    <w:abstractNumId w:val="36"/>
  </w:num>
  <w:num w:numId="45">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2D36"/>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1F0"/>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7CE"/>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2BD"/>
    <w:rsid w:val="00766936"/>
    <w:rsid w:val="007669C0"/>
    <w:rsid w:val="00766B54"/>
    <w:rsid w:val="00766BE2"/>
    <w:rsid w:val="00766C3D"/>
    <w:rsid w:val="00766CFE"/>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5066"/>
    <w:rsid w:val="00836074"/>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753"/>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28A6"/>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9B7"/>
    <w:rsid w:val="00EA59D2"/>
    <w:rsid w:val="00EA63A3"/>
    <w:rsid w:val="00EA64BF"/>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64D9D-DF27-4983-BE55-876AB4DA6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1997</TotalTime>
  <Pages>3</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3085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72</cp:revision>
  <cp:lastPrinted>2007-04-24T00:59:00Z</cp:lastPrinted>
  <dcterms:created xsi:type="dcterms:W3CDTF">2020-04-09T06:55:00Z</dcterms:created>
  <dcterms:modified xsi:type="dcterms:W3CDTF">2020-08-07T09:01:00Z</dcterms:modified>
</cp:coreProperties>
</file>